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28" w:rsidRPr="00220128" w:rsidRDefault="00220128" w:rsidP="00220128">
      <w:pPr>
        <w:pStyle w:val="NoSpacing"/>
        <w:jc w:val="center"/>
        <w:rPr>
          <w:rFonts w:ascii="Rockwell" w:hAnsi="Rockwell" w:cs="Times New Roman"/>
          <w:sz w:val="32"/>
          <w:szCs w:val="32"/>
        </w:rPr>
      </w:pPr>
      <w:r w:rsidRPr="002F0F10">
        <w:rPr>
          <w:rFonts w:ascii="Rockwell" w:hAnsi="Rockwell" w:cs="Times New Roman"/>
          <w:sz w:val="32"/>
          <w:szCs w:val="32"/>
          <w:u w:val="single"/>
        </w:rPr>
        <w:t>How to Help Your Child Succeed on the Keystone Literature Exam</w:t>
      </w:r>
      <w:r w:rsidRPr="00220128">
        <w:rPr>
          <w:rFonts w:ascii="Rockwell" w:hAnsi="Rockwell" w:cs="Times New Roman"/>
          <w:sz w:val="32"/>
          <w:szCs w:val="32"/>
        </w:rPr>
        <w:t xml:space="preserve">:  </w:t>
      </w:r>
    </w:p>
    <w:p w:rsidR="00220128" w:rsidRPr="00220128" w:rsidRDefault="00220128" w:rsidP="00220128">
      <w:pPr>
        <w:pStyle w:val="NoSpacing"/>
        <w:jc w:val="center"/>
        <w:rPr>
          <w:rFonts w:ascii="Rockwell" w:hAnsi="Rockwell" w:cs="Times New Roman"/>
          <w:sz w:val="32"/>
          <w:szCs w:val="32"/>
        </w:rPr>
      </w:pPr>
    </w:p>
    <w:p w:rsidR="00220128" w:rsidRDefault="00220128" w:rsidP="00220128">
      <w:pPr>
        <w:pStyle w:val="NoSpacing"/>
        <w:jc w:val="center"/>
        <w:rPr>
          <w:rFonts w:ascii="Rockwell" w:hAnsi="Rockwell" w:cs="Times New Roman"/>
          <w:sz w:val="32"/>
          <w:szCs w:val="32"/>
        </w:rPr>
      </w:pPr>
      <w:r w:rsidRPr="00220128">
        <w:rPr>
          <w:rFonts w:ascii="Rockwell" w:hAnsi="Rockwell" w:cs="Times New Roman"/>
          <w:sz w:val="32"/>
          <w:szCs w:val="32"/>
        </w:rPr>
        <w:t>A Parent’s Guide to Understand</w:t>
      </w:r>
      <w:r w:rsidR="002F0F10">
        <w:rPr>
          <w:rFonts w:ascii="Rockwell" w:hAnsi="Rockwell" w:cs="Times New Roman"/>
          <w:sz w:val="32"/>
          <w:szCs w:val="32"/>
        </w:rPr>
        <w:t>ing</w:t>
      </w:r>
      <w:r w:rsidRPr="00220128">
        <w:rPr>
          <w:rFonts w:ascii="Rockwell" w:hAnsi="Rockwell" w:cs="Times New Roman"/>
          <w:sz w:val="32"/>
          <w:szCs w:val="32"/>
        </w:rPr>
        <w:t xml:space="preserve"> the Structure and Content of Pennsylvania’s Keystone Literature Exam</w:t>
      </w:r>
    </w:p>
    <w:p w:rsidR="00E7507E" w:rsidRPr="00220128" w:rsidRDefault="00E7507E" w:rsidP="00220128">
      <w:pPr>
        <w:pStyle w:val="NoSpacing"/>
        <w:jc w:val="center"/>
        <w:rPr>
          <w:rFonts w:ascii="Rockwell" w:hAnsi="Rockwell" w:cs="Times New Roman"/>
          <w:sz w:val="32"/>
          <w:szCs w:val="32"/>
        </w:rPr>
      </w:pPr>
    </w:p>
    <w:p w:rsidR="00220128" w:rsidRPr="00220128" w:rsidRDefault="00220128" w:rsidP="00220128">
      <w:pPr>
        <w:pStyle w:val="NoSpacing"/>
        <w:jc w:val="center"/>
        <w:rPr>
          <w:rFonts w:ascii="Rockwell" w:hAnsi="Rockwell" w:cs="Times New Roman"/>
          <w:sz w:val="28"/>
          <w:szCs w:val="28"/>
          <w:u w:val="single"/>
        </w:rPr>
      </w:pPr>
    </w:p>
    <w:p w:rsidR="00A017F2" w:rsidRDefault="007975D4" w:rsidP="005813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507E">
        <w:rPr>
          <w:rFonts w:ascii="Times New Roman" w:hAnsi="Times New Roman" w:cs="Times New Roman"/>
          <w:b/>
          <w:sz w:val="28"/>
          <w:szCs w:val="28"/>
          <w:u w:val="single"/>
        </w:rPr>
        <w:t xml:space="preserve">What Is </w:t>
      </w:r>
      <w:r w:rsidR="0058139D" w:rsidRPr="00E7507E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r w:rsidRPr="00E7507E">
        <w:rPr>
          <w:rFonts w:ascii="Times New Roman" w:hAnsi="Times New Roman" w:cs="Times New Roman"/>
          <w:b/>
          <w:sz w:val="28"/>
          <w:szCs w:val="28"/>
          <w:u w:val="single"/>
        </w:rPr>
        <w:t xml:space="preserve">Literature </w:t>
      </w:r>
      <w:r w:rsidR="0058139D" w:rsidRPr="00E7507E">
        <w:rPr>
          <w:rFonts w:ascii="Times New Roman" w:hAnsi="Times New Roman" w:cs="Times New Roman"/>
          <w:b/>
          <w:sz w:val="28"/>
          <w:szCs w:val="28"/>
          <w:u w:val="single"/>
        </w:rPr>
        <w:t>Keystone</w:t>
      </w:r>
      <w:r w:rsidRPr="00E7507E">
        <w:rPr>
          <w:rFonts w:ascii="Times New Roman" w:hAnsi="Times New Roman" w:cs="Times New Roman"/>
          <w:b/>
          <w:sz w:val="28"/>
          <w:szCs w:val="28"/>
          <w:u w:val="single"/>
        </w:rPr>
        <w:t xml:space="preserve"> Exam</w:t>
      </w:r>
      <w:r w:rsidR="0058139D" w:rsidRPr="00E7507E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="005E502F" w:rsidRPr="00220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DF" w:rsidRDefault="00A94ADF" w:rsidP="00581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6AE" w:rsidRDefault="005E502F" w:rsidP="00622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>According to the Pennsylvania Department of Education,</w:t>
      </w:r>
      <w:r w:rsidR="0058139D" w:rsidRPr="00220128">
        <w:rPr>
          <w:rFonts w:ascii="Times New Roman" w:hAnsi="Times New Roman" w:cs="Times New Roman"/>
          <w:sz w:val="24"/>
          <w:szCs w:val="24"/>
        </w:rPr>
        <w:t xml:space="preserve"> “The Keystone Exams are end-of-course assessments designed to assess proficiency in various subjects. </w:t>
      </w:r>
      <w:r w:rsidR="00545BC3" w:rsidRPr="00220128">
        <w:rPr>
          <w:rFonts w:ascii="Times New Roman" w:hAnsi="Times New Roman" w:cs="Times New Roman"/>
          <w:sz w:val="24"/>
          <w:szCs w:val="24"/>
        </w:rPr>
        <w:t>Currently, the following content areas are assessed</w:t>
      </w:r>
      <w:r w:rsidR="0058139D" w:rsidRPr="00220128">
        <w:rPr>
          <w:rFonts w:ascii="Times New Roman" w:hAnsi="Times New Roman" w:cs="Times New Roman"/>
          <w:sz w:val="24"/>
          <w:szCs w:val="24"/>
        </w:rPr>
        <w:t>: Algebra</w:t>
      </w:r>
      <w:r w:rsidR="00E7507E">
        <w:rPr>
          <w:rFonts w:ascii="Times New Roman" w:hAnsi="Times New Roman" w:cs="Times New Roman"/>
          <w:sz w:val="24"/>
          <w:szCs w:val="24"/>
        </w:rPr>
        <w:t xml:space="preserve"> I, Literature and Biology</w:t>
      </w:r>
      <w:r w:rsidR="0058139D" w:rsidRPr="00220128">
        <w:rPr>
          <w:rFonts w:ascii="Times New Roman" w:hAnsi="Times New Roman" w:cs="Times New Roman"/>
          <w:sz w:val="24"/>
          <w:szCs w:val="24"/>
        </w:rPr>
        <w:t>.</w:t>
      </w:r>
      <w:r w:rsidRPr="00220128">
        <w:rPr>
          <w:rFonts w:ascii="Times New Roman" w:hAnsi="Times New Roman" w:cs="Times New Roman"/>
          <w:sz w:val="24"/>
          <w:szCs w:val="24"/>
        </w:rPr>
        <w:t>”</w:t>
      </w:r>
    </w:p>
    <w:p w:rsidR="006226AE" w:rsidRDefault="006226AE" w:rsidP="006226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913" w:rsidRDefault="00935AA7" w:rsidP="006226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 xml:space="preserve">The </w:t>
      </w:r>
      <w:r w:rsidR="006226AE">
        <w:rPr>
          <w:rFonts w:ascii="Times New Roman" w:hAnsi="Times New Roman" w:cs="Times New Roman"/>
          <w:sz w:val="24"/>
          <w:szCs w:val="24"/>
        </w:rPr>
        <w:t>Keystone Literature E</w:t>
      </w:r>
      <w:r w:rsidRPr="00220128">
        <w:rPr>
          <w:rFonts w:ascii="Times New Roman" w:hAnsi="Times New Roman" w:cs="Times New Roman"/>
          <w:sz w:val="24"/>
          <w:szCs w:val="24"/>
        </w:rPr>
        <w:t xml:space="preserve">xam is comprised of two sections, </w:t>
      </w:r>
      <w:r w:rsidRPr="006226AE">
        <w:rPr>
          <w:rFonts w:ascii="Times New Roman" w:hAnsi="Times New Roman" w:cs="Times New Roman"/>
          <w:b/>
          <w:sz w:val="24"/>
          <w:szCs w:val="24"/>
        </w:rPr>
        <w:t>Fiction</w:t>
      </w:r>
      <w:r w:rsidRPr="00220128">
        <w:rPr>
          <w:rFonts w:ascii="Times New Roman" w:hAnsi="Times New Roman" w:cs="Times New Roman"/>
          <w:sz w:val="24"/>
          <w:szCs w:val="24"/>
        </w:rPr>
        <w:t xml:space="preserve"> and </w:t>
      </w:r>
      <w:r w:rsidRPr="006226AE">
        <w:rPr>
          <w:rFonts w:ascii="Times New Roman" w:hAnsi="Times New Roman" w:cs="Times New Roman"/>
          <w:b/>
          <w:sz w:val="24"/>
          <w:szCs w:val="24"/>
        </w:rPr>
        <w:t>Nonfiction</w:t>
      </w:r>
      <w:r w:rsidR="006226AE">
        <w:rPr>
          <w:rFonts w:ascii="Times New Roman" w:hAnsi="Times New Roman" w:cs="Times New Roman"/>
          <w:sz w:val="24"/>
          <w:szCs w:val="24"/>
        </w:rPr>
        <w:t>. Both sections</w:t>
      </w:r>
      <w:r w:rsidRPr="00220128">
        <w:rPr>
          <w:rFonts w:ascii="Times New Roman" w:hAnsi="Times New Roman" w:cs="Times New Roman"/>
          <w:sz w:val="24"/>
          <w:szCs w:val="24"/>
        </w:rPr>
        <w:t xml:space="preserve"> include reading passages followed by multiple</w:t>
      </w:r>
      <w:r w:rsidR="00777913" w:rsidRPr="00220128">
        <w:rPr>
          <w:rFonts w:ascii="Times New Roman" w:hAnsi="Times New Roman" w:cs="Times New Roman"/>
          <w:sz w:val="24"/>
          <w:szCs w:val="24"/>
        </w:rPr>
        <w:t>-</w:t>
      </w:r>
      <w:r w:rsidRPr="00220128">
        <w:rPr>
          <w:rFonts w:ascii="Times New Roman" w:hAnsi="Times New Roman" w:cs="Times New Roman"/>
          <w:sz w:val="24"/>
          <w:szCs w:val="24"/>
        </w:rPr>
        <w:t>choice questions</w:t>
      </w:r>
      <w:r w:rsidR="000A431D" w:rsidRPr="00220128">
        <w:rPr>
          <w:rFonts w:ascii="Times New Roman" w:hAnsi="Times New Roman" w:cs="Times New Roman"/>
          <w:sz w:val="24"/>
          <w:szCs w:val="24"/>
        </w:rPr>
        <w:t xml:space="preserve"> and con</w:t>
      </w:r>
      <w:r w:rsidR="00777913" w:rsidRPr="00220128">
        <w:rPr>
          <w:rFonts w:ascii="Times New Roman" w:hAnsi="Times New Roman" w:cs="Times New Roman"/>
          <w:sz w:val="24"/>
          <w:szCs w:val="24"/>
        </w:rPr>
        <w:t>structed-</w:t>
      </w:r>
      <w:r w:rsidR="000A431D" w:rsidRPr="00220128">
        <w:rPr>
          <w:rFonts w:ascii="Times New Roman" w:hAnsi="Times New Roman" w:cs="Times New Roman"/>
          <w:sz w:val="24"/>
          <w:szCs w:val="24"/>
        </w:rPr>
        <w:t xml:space="preserve">response questions.  </w:t>
      </w:r>
    </w:p>
    <w:p w:rsidR="0030227A" w:rsidRPr="00220128" w:rsidRDefault="0030227A" w:rsidP="005E50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A431D" w:rsidRPr="00220128" w:rsidRDefault="000A431D" w:rsidP="007779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 xml:space="preserve">Both types of questions assess </w:t>
      </w:r>
      <w:r w:rsidR="00A01D56">
        <w:rPr>
          <w:rFonts w:ascii="Times New Roman" w:hAnsi="Times New Roman" w:cs="Times New Roman"/>
          <w:sz w:val="24"/>
          <w:szCs w:val="24"/>
        </w:rPr>
        <w:t xml:space="preserve">the </w:t>
      </w:r>
      <w:r w:rsidRPr="00220128">
        <w:rPr>
          <w:rFonts w:ascii="Times New Roman" w:hAnsi="Times New Roman" w:cs="Times New Roman"/>
          <w:sz w:val="24"/>
          <w:szCs w:val="24"/>
        </w:rPr>
        <w:t>student</w:t>
      </w:r>
      <w:r w:rsidR="00A01D56">
        <w:rPr>
          <w:rFonts w:ascii="Times New Roman" w:hAnsi="Times New Roman" w:cs="Times New Roman"/>
          <w:sz w:val="24"/>
          <w:szCs w:val="24"/>
        </w:rPr>
        <w:t>’s</w:t>
      </w:r>
      <w:r w:rsidRPr="00220128">
        <w:rPr>
          <w:rFonts w:ascii="Times New Roman" w:hAnsi="Times New Roman" w:cs="Times New Roman"/>
          <w:sz w:val="24"/>
          <w:szCs w:val="24"/>
        </w:rPr>
        <w:t xml:space="preserve"> ability to comprehend </w:t>
      </w:r>
      <w:r w:rsidR="005E502F" w:rsidRPr="00220128">
        <w:rPr>
          <w:rFonts w:ascii="Times New Roman" w:hAnsi="Times New Roman" w:cs="Times New Roman"/>
          <w:sz w:val="24"/>
          <w:szCs w:val="24"/>
        </w:rPr>
        <w:t xml:space="preserve">each passage </w:t>
      </w:r>
      <w:r w:rsidRPr="00220128">
        <w:rPr>
          <w:rFonts w:ascii="Times New Roman" w:hAnsi="Times New Roman" w:cs="Times New Roman"/>
          <w:sz w:val="24"/>
          <w:szCs w:val="24"/>
        </w:rPr>
        <w:t>and analyze the use of literary techniques.</w:t>
      </w:r>
      <w:r w:rsidR="00777913" w:rsidRPr="00220128">
        <w:rPr>
          <w:rFonts w:ascii="Times New Roman" w:hAnsi="Times New Roman" w:cs="Times New Roman"/>
          <w:sz w:val="24"/>
          <w:szCs w:val="24"/>
        </w:rPr>
        <w:t xml:space="preserve">  </w:t>
      </w:r>
      <w:r w:rsidR="00A01D56">
        <w:rPr>
          <w:rFonts w:ascii="Times New Roman" w:hAnsi="Times New Roman" w:cs="Times New Roman"/>
          <w:sz w:val="24"/>
          <w:szCs w:val="24"/>
        </w:rPr>
        <w:t>The</w:t>
      </w:r>
      <w:r w:rsidR="00777913" w:rsidRPr="00220128">
        <w:rPr>
          <w:rFonts w:ascii="Times New Roman" w:hAnsi="Times New Roman" w:cs="Times New Roman"/>
          <w:sz w:val="24"/>
          <w:szCs w:val="24"/>
        </w:rPr>
        <w:t xml:space="preserve"> constructed-</w:t>
      </w:r>
      <w:r w:rsidR="00747228">
        <w:rPr>
          <w:rFonts w:ascii="Times New Roman" w:hAnsi="Times New Roman" w:cs="Times New Roman"/>
          <w:sz w:val="24"/>
          <w:szCs w:val="24"/>
        </w:rPr>
        <w:t>response question</w:t>
      </w:r>
      <w:r w:rsidR="00A01D56">
        <w:rPr>
          <w:rFonts w:ascii="Times New Roman" w:hAnsi="Times New Roman" w:cs="Times New Roman"/>
          <w:sz w:val="24"/>
          <w:szCs w:val="24"/>
        </w:rPr>
        <w:t>s require</w:t>
      </w:r>
      <w:r w:rsidRPr="00220128">
        <w:rPr>
          <w:rFonts w:ascii="Times New Roman" w:hAnsi="Times New Roman" w:cs="Times New Roman"/>
          <w:sz w:val="24"/>
          <w:szCs w:val="24"/>
        </w:rPr>
        <w:t xml:space="preserve"> students to </w:t>
      </w:r>
      <w:r w:rsidR="00BB031C" w:rsidRPr="00220128">
        <w:rPr>
          <w:rFonts w:ascii="Times New Roman" w:hAnsi="Times New Roman" w:cs="Times New Roman"/>
          <w:sz w:val="24"/>
          <w:szCs w:val="24"/>
        </w:rPr>
        <w:t>compose</w:t>
      </w:r>
      <w:r w:rsidRPr="00220128">
        <w:rPr>
          <w:rFonts w:ascii="Times New Roman" w:hAnsi="Times New Roman" w:cs="Times New Roman"/>
          <w:sz w:val="24"/>
          <w:szCs w:val="24"/>
        </w:rPr>
        <w:t xml:space="preserve"> a paragraph examining the reading passage.</w:t>
      </w:r>
      <w:r w:rsidR="00777913" w:rsidRPr="00220128">
        <w:rPr>
          <w:rFonts w:ascii="Times New Roman" w:hAnsi="Times New Roman" w:cs="Times New Roman"/>
          <w:sz w:val="24"/>
          <w:szCs w:val="24"/>
        </w:rPr>
        <w:t xml:space="preserve">  </w:t>
      </w:r>
      <w:r w:rsidR="00777913" w:rsidRPr="00747228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1745A5" w:rsidRPr="00747228">
        <w:rPr>
          <w:rFonts w:ascii="Times New Roman" w:hAnsi="Times New Roman" w:cs="Times New Roman"/>
          <w:sz w:val="24"/>
          <w:szCs w:val="24"/>
        </w:rPr>
        <w:t>65</w:t>
      </w:r>
      <w:r w:rsidR="005E502F" w:rsidRPr="00747228">
        <w:rPr>
          <w:rFonts w:ascii="Times New Roman" w:hAnsi="Times New Roman" w:cs="Times New Roman"/>
          <w:sz w:val="24"/>
          <w:szCs w:val="24"/>
        </w:rPr>
        <w:t xml:space="preserve">% </w:t>
      </w:r>
      <w:r w:rsidR="00777913" w:rsidRPr="00747228">
        <w:rPr>
          <w:rFonts w:ascii="Times New Roman" w:hAnsi="Times New Roman" w:cs="Times New Roman"/>
          <w:sz w:val="24"/>
          <w:szCs w:val="24"/>
        </w:rPr>
        <w:t xml:space="preserve">of the total score will be from multiple-choice questions and </w:t>
      </w:r>
      <w:r w:rsidR="001745A5" w:rsidRPr="00747228">
        <w:rPr>
          <w:rFonts w:ascii="Times New Roman" w:hAnsi="Times New Roman" w:cs="Times New Roman"/>
          <w:sz w:val="24"/>
          <w:szCs w:val="24"/>
        </w:rPr>
        <w:t>35</w:t>
      </w:r>
      <w:r w:rsidR="005E502F" w:rsidRPr="00747228">
        <w:rPr>
          <w:rFonts w:ascii="Times New Roman" w:hAnsi="Times New Roman" w:cs="Times New Roman"/>
          <w:sz w:val="24"/>
          <w:szCs w:val="24"/>
        </w:rPr>
        <w:t xml:space="preserve">% </w:t>
      </w:r>
      <w:r w:rsidR="00777913" w:rsidRPr="00747228">
        <w:rPr>
          <w:rFonts w:ascii="Times New Roman" w:hAnsi="Times New Roman" w:cs="Times New Roman"/>
          <w:sz w:val="24"/>
          <w:szCs w:val="24"/>
        </w:rPr>
        <w:t>will be from constructed-response questions.</w:t>
      </w:r>
    </w:p>
    <w:p w:rsidR="0066213B" w:rsidRPr="00220128" w:rsidRDefault="0066213B" w:rsidP="0066213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3708"/>
        <w:gridCol w:w="4140"/>
        <w:gridCol w:w="2984"/>
      </w:tblGrid>
      <w:tr w:rsidR="0066213B" w:rsidRPr="00220128" w:rsidTr="001745A5">
        <w:trPr>
          <w:trHeight w:val="306"/>
        </w:trPr>
        <w:tc>
          <w:tcPr>
            <w:tcW w:w="3708" w:type="dxa"/>
          </w:tcPr>
          <w:p w:rsidR="0066213B" w:rsidRPr="00064F70" w:rsidRDefault="0066213B" w:rsidP="0066213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213B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b/>
                <w:sz w:val="28"/>
                <w:szCs w:val="28"/>
              </w:rPr>
              <w:t>Multiple-Choice</w:t>
            </w:r>
          </w:p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b/>
                <w:sz w:val="28"/>
                <w:szCs w:val="28"/>
              </w:rPr>
              <w:t>(1 point each)</w:t>
            </w:r>
          </w:p>
        </w:tc>
        <w:tc>
          <w:tcPr>
            <w:tcW w:w="2984" w:type="dxa"/>
          </w:tcPr>
          <w:p w:rsidR="0066213B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Constructed-Response </w:t>
            </w:r>
          </w:p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b/>
                <w:sz w:val="28"/>
                <w:szCs w:val="28"/>
              </w:rPr>
              <w:t>(3 points each)</w:t>
            </w:r>
          </w:p>
        </w:tc>
      </w:tr>
      <w:tr w:rsidR="001745A5" w:rsidRPr="00220128" w:rsidTr="001745A5">
        <w:trPr>
          <w:trHeight w:val="395"/>
        </w:trPr>
        <w:tc>
          <w:tcPr>
            <w:tcW w:w="3708" w:type="dxa"/>
          </w:tcPr>
          <w:p w:rsidR="001745A5" w:rsidRPr="00064F70" w:rsidRDefault="001745A5" w:rsidP="0066213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b/>
                <w:sz w:val="28"/>
                <w:szCs w:val="28"/>
              </w:rPr>
              <w:t>Module 1 – Fiction</w:t>
            </w:r>
          </w:p>
          <w:p w:rsidR="001745A5" w:rsidRPr="00064F70" w:rsidRDefault="001745A5" w:rsidP="0066213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>Reading for Meaning</w:t>
            </w:r>
          </w:p>
          <w:p w:rsidR="001745A5" w:rsidRPr="00064F70" w:rsidRDefault="001745A5" w:rsidP="001745A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 xml:space="preserve">Analyzing and Interpreting </w:t>
            </w:r>
          </w:p>
        </w:tc>
        <w:tc>
          <w:tcPr>
            <w:tcW w:w="4140" w:type="dxa"/>
          </w:tcPr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 xml:space="preserve">(17 points) </w:t>
            </w:r>
          </w:p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>3 Questions</w:t>
            </w:r>
          </w:p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>(9 points)</w:t>
            </w:r>
          </w:p>
        </w:tc>
      </w:tr>
      <w:tr w:rsidR="001745A5" w:rsidRPr="00220128" w:rsidTr="001745A5">
        <w:trPr>
          <w:trHeight w:val="152"/>
        </w:trPr>
        <w:tc>
          <w:tcPr>
            <w:tcW w:w="3708" w:type="dxa"/>
          </w:tcPr>
          <w:p w:rsidR="001745A5" w:rsidRPr="00064F70" w:rsidRDefault="001745A5" w:rsidP="0066213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b/>
                <w:sz w:val="28"/>
                <w:szCs w:val="28"/>
              </w:rPr>
              <w:t>Module 2 - Nonfiction</w:t>
            </w:r>
          </w:p>
          <w:p w:rsidR="001745A5" w:rsidRPr="00064F70" w:rsidRDefault="001745A5" w:rsidP="0066213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>Reading for Meaning</w:t>
            </w:r>
          </w:p>
          <w:p w:rsidR="001745A5" w:rsidRPr="00064F70" w:rsidRDefault="001745A5" w:rsidP="001745A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 xml:space="preserve">Analyzing and Interpreting </w:t>
            </w:r>
          </w:p>
        </w:tc>
        <w:tc>
          <w:tcPr>
            <w:tcW w:w="4140" w:type="dxa"/>
          </w:tcPr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>(17 points)</w:t>
            </w:r>
          </w:p>
        </w:tc>
        <w:tc>
          <w:tcPr>
            <w:tcW w:w="2984" w:type="dxa"/>
          </w:tcPr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>3 Questions</w:t>
            </w:r>
          </w:p>
          <w:p w:rsidR="001745A5" w:rsidRPr="00064F70" w:rsidRDefault="001745A5" w:rsidP="0066213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>(9 points)</w:t>
            </w:r>
          </w:p>
        </w:tc>
      </w:tr>
    </w:tbl>
    <w:p w:rsidR="0066213B" w:rsidRDefault="0066213B" w:rsidP="00662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9F" w:rsidRPr="00220128" w:rsidRDefault="00AD5B9F" w:rsidP="00662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AA7" w:rsidRDefault="00FB7FD4" w:rsidP="00935AA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27A">
        <w:rPr>
          <w:rFonts w:ascii="Times New Roman" w:hAnsi="Times New Roman" w:cs="Times New Roman"/>
          <w:b/>
          <w:sz w:val="28"/>
          <w:szCs w:val="28"/>
          <w:u w:val="single"/>
        </w:rPr>
        <w:t>How Do I See A Sample Literature Keystone Exam?</w:t>
      </w:r>
    </w:p>
    <w:p w:rsidR="00A94ADF" w:rsidRPr="0030227A" w:rsidRDefault="00A94ADF" w:rsidP="00935AA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902" w:rsidRPr="00220128" w:rsidRDefault="007D3902" w:rsidP="00935A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>On the following website, http://www.portal.state.pa.us/portal/server.pt/community/state_assessment_</w:t>
      </w:r>
    </w:p>
    <w:p w:rsidR="00FB7FD4" w:rsidRDefault="007D3902" w:rsidP="00935AA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220128">
        <w:rPr>
          <w:rFonts w:ascii="Times New Roman" w:hAnsi="Times New Roman" w:cs="Times New Roman"/>
          <w:sz w:val="24"/>
          <w:szCs w:val="24"/>
        </w:rPr>
        <w:t>system/20965/</w:t>
      </w:r>
      <w:proofErr w:type="spellStart"/>
      <w:r w:rsidRPr="00220128">
        <w:rPr>
          <w:rFonts w:ascii="Times New Roman" w:hAnsi="Times New Roman" w:cs="Times New Roman"/>
          <w:sz w:val="24"/>
          <w:szCs w:val="24"/>
        </w:rPr>
        <w:t>keystone_exams</w:t>
      </w:r>
      <w:proofErr w:type="spellEnd"/>
      <w:r w:rsidRPr="00220128">
        <w:rPr>
          <w:rFonts w:ascii="Times New Roman" w:hAnsi="Times New Roman" w:cs="Times New Roman"/>
          <w:sz w:val="24"/>
          <w:szCs w:val="24"/>
        </w:rPr>
        <w:t>/1190529</w:t>
      </w:r>
      <w:proofErr w:type="gramEnd"/>
      <w:r w:rsidRPr="00220128">
        <w:rPr>
          <w:rFonts w:ascii="Times New Roman" w:hAnsi="Times New Roman" w:cs="Times New Roman"/>
          <w:sz w:val="24"/>
          <w:szCs w:val="24"/>
        </w:rPr>
        <w:t>, click on the link “Item and Scoring Sampler – Literature (PDF)” underneath the header, “Item and Scoring Samplers” to see a portion of an exam with student responses.</w:t>
      </w:r>
    </w:p>
    <w:p w:rsidR="006352C7" w:rsidRDefault="006352C7" w:rsidP="0093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2C7" w:rsidRDefault="006352C7" w:rsidP="00935A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you can click on this link:</w:t>
      </w:r>
    </w:p>
    <w:p w:rsidR="005F0662" w:rsidRPr="00220128" w:rsidRDefault="000E258C" w:rsidP="00935AA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F0662" w:rsidRPr="005F0662">
          <w:rPr>
            <w:rStyle w:val="Hyperlink"/>
            <w:rFonts w:ascii="Times New Roman" w:hAnsi="Times New Roman" w:cs="Times New Roman"/>
            <w:sz w:val="24"/>
            <w:szCs w:val="24"/>
          </w:rPr>
          <w:t>http://static.pdesas.org/Content/Documents/Keystone_Literature_Feb_2011_Item_and_Scoring_Sampler.pdf</w:t>
        </w:r>
      </w:hyperlink>
    </w:p>
    <w:p w:rsidR="00935AA7" w:rsidRDefault="00935AA7" w:rsidP="0093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9F" w:rsidRDefault="00AD5B9F" w:rsidP="0093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1D56" w:rsidRDefault="00A01D56" w:rsidP="0093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1D56" w:rsidRDefault="00A01D56" w:rsidP="0093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1D56" w:rsidRDefault="00A01D56" w:rsidP="0093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F70" w:rsidRPr="00220128" w:rsidRDefault="00064F70" w:rsidP="0093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AA7" w:rsidRDefault="00935AA7" w:rsidP="00935AA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27A">
        <w:rPr>
          <w:rFonts w:ascii="Times New Roman" w:hAnsi="Times New Roman" w:cs="Times New Roman"/>
          <w:b/>
          <w:sz w:val="28"/>
          <w:szCs w:val="28"/>
          <w:u w:val="single"/>
        </w:rPr>
        <w:t>How Have Students Been Prepared?</w:t>
      </w:r>
    </w:p>
    <w:p w:rsidR="00A94ADF" w:rsidRPr="0030227A" w:rsidRDefault="00A94ADF" w:rsidP="00935AA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35AA7" w:rsidRDefault="00F33DED" w:rsidP="00935A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 xml:space="preserve">English teachers have </w:t>
      </w:r>
      <w:r w:rsidR="005E502F" w:rsidRPr="00220128">
        <w:rPr>
          <w:rFonts w:ascii="Times New Roman" w:hAnsi="Times New Roman" w:cs="Times New Roman"/>
          <w:sz w:val="24"/>
          <w:szCs w:val="24"/>
        </w:rPr>
        <w:t>modified</w:t>
      </w:r>
      <w:r w:rsidRPr="00220128">
        <w:rPr>
          <w:rFonts w:ascii="Times New Roman" w:hAnsi="Times New Roman" w:cs="Times New Roman"/>
          <w:sz w:val="24"/>
          <w:szCs w:val="24"/>
        </w:rPr>
        <w:t xml:space="preserve"> the curriculum to include lessons, assignments and assessments aligned to the Lit</w:t>
      </w:r>
      <w:r w:rsidR="007D3902" w:rsidRPr="00220128">
        <w:rPr>
          <w:rFonts w:ascii="Times New Roman" w:hAnsi="Times New Roman" w:cs="Times New Roman"/>
          <w:sz w:val="24"/>
          <w:szCs w:val="24"/>
        </w:rPr>
        <w:t>erature Keystone Exam.</w:t>
      </w:r>
      <w:r w:rsidR="005E502F" w:rsidRPr="00220128">
        <w:rPr>
          <w:rFonts w:ascii="Times New Roman" w:hAnsi="Times New Roman" w:cs="Times New Roman"/>
          <w:sz w:val="24"/>
          <w:szCs w:val="24"/>
        </w:rPr>
        <w:t xml:space="preserve">  Revisions and additions include:</w:t>
      </w:r>
    </w:p>
    <w:p w:rsidR="0030227A" w:rsidRPr="00220128" w:rsidRDefault="0030227A" w:rsidP="0093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DED" w:rsidRPr="00220128" w:rsidRDefault="00F33DED" w:rsidP="00F33D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>Nine weeks exams that address each area assessed on the Literature Keystone Exam and listed on The Keystone Exams Assessment Anchors and Eligible Content document</w:t>
      </w:r>
    </w:p>
    <w:p w:rsidR="00F33DED" w:rsidRPr="00220128" w:rsidRDefault="00F33DED" w:rsidP="00F33D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>Instruction and practice with composing timed</w:t>
      </w:r>
      <w:r w:rsidR="00F57A23">
        <w:rPr>
          <w:rFonts w:ascii="Times New Roman" w:hAnsi="Times New Roman" w:cs="Times New Roman"/>
          <w:sz w:val="24"/>
          <w:szCs w:val="24"/>
        </w:rPr>
        <w:t>,</w:t>
      </w:r>
      <w:r w:rsidRPr="00220128">
        <w:rPr>
          <w:rFonts w:ascii="Times New Roman" w:hAnsi="Times New Roman" w:cs="Times New Roman"/>
          <w:sz w:val="24"/>
          <w:szCs w:val="24"/>
        </w:rPr>
        <w:t xml:space="preserve"> in-class essays written in response to Keystone-style constructed-response questions</w:t>
      </w:r>
    </w:p>
    <w:p w:rsidR="007D3902" w:rsidRPr="00220128" w:rsidRDefault="00F33DED" w:rsidP="00F33D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7D3902" w:rsidRPr="00220128">
        <w:rPr>
          <w:rFonts w:ascii="Times New Roman" w:hAnsi="Times New Roman" w:cs="Times New Roman"/>
          <w:sz w:val="24"/>
          <w:szCs w:val="24"/>
        </w:rPr>
        <w:t xml:space="preserve">of </w:t>
      </w:r>
      <w:r w:rsidRPr="00220128">
        <w:rPr>
          <w:rFonts w:ascii="Times New Roman" w:hAnsi="Times New Roman" w:cs="Times New Roman"/>
          <w:sz w:val="24"/>
          <w:szCs w:val="24"/>
        </w:rPr>
        <w:t xml:space="preserve">Keystone-style constructed-response essays </w:t>
      </w:r>
      <w:r w:rsidR="007D3902" w:rsidRPr="00220128">
        <w:rPr>
          <w:rFonts w:ascii="Times New Roman" w:hAnsi="Times New Roman" w:cs="Times New Roman"/>
          <w:sz w:val="24"/>
          <w:szCs w:val="24"/>
        </w:rPr>
        <w:t>with the same rubric used on the Literature Keystone Exam</w:t>
      </w:r>
    </w:p>
    <w:p w:rsidR="00F33DED" w:rsidRPr="00220128" w:rsidRDefault="007D3902" w:rsidP="00F33D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 xml:space="preserve">Reflection on sample Keystone-style constructed-response essays </w:t>
      </w:r>
      <w:r w:rsidR="00F33DED" w:rsidRPr="00220128">
        <w:rPr>
          <w:rFonts w:ascii="Times New Roman" w:hAnsi="Times New Roman" w:cs="Times New Roman"/>
          <w:sz w:val="24"/>
          <w:szCs w:val="24"/>
        </w:rPr>
        <w:t>provided by the state and composed by classmates</w:t>
      </w:r>
    </w:p>
    <w:p w:rsidR="00F33DED" w:rsidRPr="00220128" w:rsidRDefault="007D3902" w:rsidP="00F33D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>The addition of more nonfiction texts to address the nonfiction module of the exam</w:t>
      </w:r>
    </w:p>
    <w:p w:rsidR="007D3902" w:rsidRDefault="007D3902" w:rsidP="00F33D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>Bi-weekly meetings with the Social Studies department to collaborate on enhancing reading and writing skills throu</w:t>
      </w:r>
      <w:r w:rsidR="00F57A23">
        <w:rPr>
          <w:rFonts w:ascii="Times New Roman" w:hAnsi="Times New Roman" w:cs="Times New Roman"/>
          <w:sz w:val="24"/>
          <w:szCs w:val="24"/>
        </w:rPr>
        <w:t>gh the Social Studies curricula</w:t>
      </w:r>
    </w:p>
    <w:p w:rsidR="00313A03" w:rsidRPr="00220128" w:rsidRDefault="00313A03" w:rsidP="00F33D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given on how to conduct close reading analysis of various types of texts</w:t>
      </w:r>
    </w:p>
    <w:p w:rsidR="007D3902" w:rsidRPr="00220128" w:rsidRDefault="007D3902" w:rsidP="00F33D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>Close reading activities in which students analyze a short passage of a text for meaning and literary techniques</w:t>
      </w:r>
    </w:p>
    <w:p w:rsidR="00935AA7" w:rsidRPr="00220128" w:rsidRDefault="00935AA7" w:rsidP="00935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39D" w:rsidRPr="00220128" w:rsidRDefault="0058139D" w:rsidP="00581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39D" w:rsidRDefault="00545BC3" w:rsidP="0058139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27A">
        <w:rPr>
          <w:rFonts w:ascii="Times New Roman" w:hAnsi="Times New Roman" w:cs="Times New Roman"/>
          <w:b/>
          <w:sz w:val="28"/>
          <w:szCs w:val="28"/>
          <w:u w:val="single"/>
        </w:rPr>
        <w:t>How Are Students S</w:t>
      </w:r>
      <w:r w:rsidR="0058139D" w:rsidRPr="0030227A">
        <w:rPr>
          <w:rFonts w:ascii="Times New Roman" w:hAnsi="Times New Roman" w:cs="Times New Roman"/>
          <w:b/>
          <w:sz w:val="28"/>
          <w:szCs w:val="28"/>
          <w:u w:val="single"/>
        </w:rPr>
        <w:t>cored?</w:t>
      </w:r>
    </w:p>
    <w:p w:rsidR="0030227A" w:rsidRPr="0030227A" w:rsidRDefault="0030227A" w:rsidP="0058139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FD4" w:rsidRPr="00064F70" w:rsidRDefault="00CD24C4" w:rsidP="005813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64F70">
        <w:rPr>
          <w:rFonts w:ascii="Times New Roman" w:hAnsi="Times New Roman" w:cs="Times New Roman"/>
          <w:b/>
          <w:sz w:val="28"/>
          <w:szCs w:val="28"/>
        </w:rPr>
        <w:t>Overall Scoring</w:t>
      </w:r>
      <w:r w:rsidR="00FB7FD4" w:rsidRPr="00064F7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58139D" w:rsidRPr="00064F70" w:rsidTr="00115AC5">
        <w:trPr>
          <w:trHeight w:val="295"/>
        </w:trPr>
        <w:tc>
          <w:tcPr>
            <w:tcW w:w="2147" w:type="dxa"/>
          </w:tcPr>
          <w:p w:rsidR="0058139D" w:rsidRPr="00064F70" w:rsidRDefault="00545BC3" w:rsidP="00545B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b/>
                <w:sz w:val="28"/>
                <w:szCs w:val="28"/>
              </w:rPr>
              <w:t>Content Area</w:t>
            </w:r>
          </w:p>
        </w:tc>
        <w:tc>
          <w:tcPr>
            <w:tcW w:w="2147" w:type="dxa"/>
          </w:tcPr>
          <w:p w:rsidR="0058139D" w:rsidRPr="00064F70" w:rsidRDefault="00545BC3" w:rsidP="00545B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b/>
                <w:sz w:val="28"/>
                <w:szCs w:val="28"/>
              </w:rPr>
              <w:t>Below Basic</w:t>
            </w:r>
          </w:p>
        </w:tc>
        <w:tc>
          <w:tcPr>
            <w:tcW w:w="2147" w:type="dxa"/>
          </w:tcPr>
          <w:p w:rsidR="0058139D" w:rsidRPr="00064F70" w:rsidRDefault="00545BC3" w:rsidP="00545B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b/>
                <w:sz w:val="28"/>
                <w:szCs w:val="28"/>
              </w:rPr>
              <w:t>Basic</w:t>
            </w:r>
          </w:p>
        </w:tc>
        <w:tc>
          <w:tcPr>
            <w:tcW w:w="2147" w:type="dxa"/>
          </w:tcPr>
          <w:p w:rsidR="0058139D" w:rsidRPr="00064F70" w:rsidRDefault="00545BC3" w:rsidP="00545B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b/>
                <w:sz w:val="28"/>
                <w:szCs w:val="28"/>
              </w:rPr>
              <w:t>Proficient</w:t>
            </w:r>
          </w:p>
        </w:tc>
        <w:tc>
          <w:tcPr>
            <w:tcW w:w="2148" w:type="dxa"/>
          </w:tcPr>
          <w:p w:rsidR="0058139D" w:rsidRPr="00064F70" w:rsidRDefault="00545BC3" w:rsidP="00545B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b/>
                <w:sz w:val="28"/>
                <w:szCs w:val="28"/>
              </w:rPr>
              <w:t>Advanced</w:t>
            </w:r>
          </w:p>
        </w:tc>
      </w:tr>
      <w:tr w:rsidR="0058139D" w:rsidRPr="00064F70" w:rsidTr="00115AC5">
        <w:trPr>
          <w:trHeight w:val="318"/>
        </w:trPr>
        <w:tc>
          <w:tcPr>
            <w:tcW w:w="2147" w:type="dxa"/>
          </w:tcPr>
          <w:p w:rsidR="0058139D" w:rsidRPr="00064F70" w:rsidRDefault="00545BC3" w:rsidP="00545BC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>Literature</w:t>
            </w:r>
          </w:p>
        </w:tc>
        <w:tc>
          <w:tcPr>
            <w:tcW w:w="2147" w:type="dxa"/>
          </w:tcPr>
          <w:p w:rsidR="0058139D" w:rsidRPr="00064F70" w:rsidRDefault="00545BC3" w:rsidP="00545BC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>1200-1443</w:t>
            </w:r>
          </w:p>
        </w:tc>
        <w:tc>
          <w:tcPr>
            <w:tcW w:w="2147" w:type="dxa"/>
          </w:tcPr>
          <w:p w:rsidR="0058139D" w:rsidRPr="00064F70" w:rsidRDefault="00545BC3" w:rsidP="00545BC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>1444-1499</w:t>
            </w:r>
          </w:p>
        </w:tc>
        <w:tc>
          <w:tcPr>
            <w:tcW w:w="2147" w:type="dxa"/>
          </w:tcPr>
          <w:p w:rsidR="0058139D" w:rsidRPr="00064F70" w:rsidRDefault="00545BC3" w:rsidP="00545BC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>1500-1583</w:t>
            </w:r>
          </w:p>
        </w:tc>
        <w:tc>
          <w:tcPr>
            <w:tcW w:w="2148" w:type="dxa"/>
          </w:tcPr>
          <w:p w:rsidR="0058139D" w:rsidRPr="00064F70" w:rsidRDefault="00545BC3" w:rsidP="00545BC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F70">
              <w:rPr>
                <w:rFonts w:ascii="Times New Roman" w:hAnsi="Times New Roman" w:cs="Times New Roman"/>
                <w:sz w:val="28"/>
                <w:szCs w:val="28"/>
              </w:rPr>
              <w:t>1584-1800</w:t>
            </w:r>
          </w:p>
        </w:tc>
      </w:tr>
    </w:tbl>
    <w:p w:rsidR="0030227A" w:rsidRPr="0030227A" w:rsidRDefault="0030227A" w:rsidP="003022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45BC3" w:rsidRDefault="00822E4D" w:rsidP="00822E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i/>
          <w:sz w:val="24"/>
          <w:szCs w:val="24"/>
        </w:rPr>
        <w:t>Advanced</w:t>
      </w:r>
      <w:r w:rsidRPr="00220128">
        <w:rPr>
          <w:rFonts w:ascii="Times New Roman" w:hAnsi="Times New Roman" w:cs="Times New Roman"/>
          <w:sz w:val="24"/>
          <w:szCs w:val="24"/>
        </w:rPr>
        <w:t xml:space="preserve"> = Superior academic performance indicating an in-depth understanding and exemplary display of the skills included in the Keystone Exams Assessment Anchors and Eligible Content.</w:t>
      </w:r>
    </w:p>
    <w:p w:rsidR="00064F70" w:rsidRPr="00220128" w:rsidRDefault="00064F70" w:rsidP="00064F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22E4D" w:rsidRDefault="00822E4D" w:rsidP="00822E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i/>
          <w:sz w:val="24"/>
          <w:szCs w:val="24"/>
        </w:rPr>
        <w:t>Proficient</w:t>
      </w:r>
      <w:r w:rsidRPr="00220128">
        <w:rPr>
          <w:rFonts w:ascii="Times New Roman" w:hAnsi="Times New Roman" w:cs="Times New Roman"/>
          <w:sz w:val="24"/>
          <w:szCs w:val="24"/>
        </w:rPr>
        <w:t xml:space="preserve"> = Satisfactory academic performance indicating a solid understanding and adequate display of the skills included in the Keystone Exams Assessment Anchors and Eligible Content.</w:t>
      </w:r>
    </w:p>
    <w:p w:rsidR="00064F70" w:rsidRPr="00220128" w:rsidRDefault="00064F70" w:rsidP="00064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E4D" w:rsidRDefault="00822E4D" w:rsidP="00822E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i/>
          <w:sz w:val="24"/>
          <w:szCs w:val="24"/>
        </w:rPr>
        <w:t>Basic</w:t>
      </w:r>
      <w:r w:rsidRPr="00220128">
        <w:rPr>
          <w:rFonts w:ascii="Times New Roman" w:hAnsi="Times New Roman" w:cs="Times New Roman"/>
          <w:sz w:val="24"/>
          <w:szCs w:val="24"/>
        </w:rPr>
        <w:t xml:space="preserve"> = Marginal academic performance indicating work approaching, but not yet reaching, satisfactory performance.  Performance indicates a partial understanding and limited display of the skills included in the Keystone Exams Assessment Anchors and Eligible Content.  The student may need additional instructional opportunities and/or increased student academic commitment to achieve the Proficient level.</w:t>
      </w:r>
    </w:p>
    <w:p w:rsidR="00064F70" w:rsidRPr="00220128" w:rsidRDefault="00064F70" w:rsidP="00064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E4D" w:rsidRPr="00220128" w:rsidRDefault="00822E4D" w:rsidP="00822E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i/>
          <w:sz w:val="24"/>
          <w:szCs w:val="24"/>
        </w:rPr>
        <w:t>Below Basic</w:t>
      </w:r>
      <w:r w:rsidRPr="00220128">
        <w:rPr>
          <w:rFonts w:ascii="Times New Roman" w:hAnsi="Times New Roman" w:cs="Times New Roman"/>
          <w:sz w:val="24"/>
          <w:szCs w:val="24"/>
        </w:rPr>
        <w:t xml:space="preserve"> = Inadequate academic performance indicating little understanding and minimal display of the skills included in the Keystone Exams Assessment Anchors and Eligible Content.  There is a major need for additional instructional opportunities and/or increased student academic commitment to achieve the Proficient level.</w:t>
      </w:r>
    </w:p>
    <w:p w:rsidR="00FB7FD4" w:rsidRDefault="00FB7FD4" w:rsidP="00FB7F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F70" w:rsidRDefault="00064F70" w:rsidP="00FB7F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F70" w:rsidRPr="00220128" w:rsidRDefault="00064F70" w:rsidP="00FB7F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FD4" w:rsidRPr="00064F70" w:rsidRDefault="00FB7FD4" w:rsidP="00FB7F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64F70">
        <w:rPr>
          <w:rFonts w:ascii="Times New Roman" w:hAnsi="Times New Roman" w:cs="Times New Roman"/>
          <w:b/>
          <w:sz w:val="28"/>
          <w:szCs w:val="28"/>
        </w:rPr>
        <w:t>Constructed-Response Scoring:</w:t>
      </w:r>
    </w:p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918"/>
        <w:gridCol w:w="9940"/>
      </w:tblGrid>
      <w:tr w:rsidR="00CD24C4" w:rsidRPr="00220128" w:rsidTr="005E502F">
        <w:trPr>
          <w:trHeight w:val="257"/>
        </w:trPr>
        <w:tc>
          <w:tcPr>
            <w:tcW w:w="918" w:type="dxa"/>
          </w:tcPr>
          <w:p w:rsidR="00CD24C4" w:rsidRPr="00220128" w:rsidRDefault="00CD24C4" w:rsidP="00CD24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28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9940" w:type="dxa"/>
          </w:tcPr>
          <w:p w:rsidR="00CD24C4" w:rsidRPr="00220128" w:rsidRDefault="00CD24C4" w:rsidP="00CD24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2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CD24C4" w:rsidRPr="00220128" w:rsidTr="005E502F">
        <w:trPr>
          <w:trHeight w:val="257"/>
        </w:trPr>
        <w:tc>
          <w:tcPr>
            <w:tcW w:w="918" w:type="dxa"/>
          </w:tcPr>
          <w:p w:rsidR="00CD24C4" w:rsidRPr="00220128" w:rsidRDefault="00CD24C4" w:rsidP="00CD24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C4" w:rsidRPr="00220128" w:rsidRDefault="00CD24C4" w:rsidP="00CD24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0" w:type="dxa"/>
          </w:tcPr>
          <w:p w:rsidR="00CD24C4" w:rsidRPr="00220128" w:rsidRDefault="00CD24C4" w:rsidP="00CD2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8">
              <w:rPr>
                <w:rFonts w:ascii="Times New Roman" w:hAnsi="Times New Roman" w:cs="Times New Roman"/>
                <w:sz w:val="24"/>
                <w:szCs w:val="24"/>
              </w:rPr>
              <w:t>The response is a clear, complete, and accurate analysis of how the author constructs the argument in the passage. The response includes relevant and specific information from the passage.</w:t>
            </w:r>
          </w:p>
        </w:tc>
      </w:tr>
      <w:tr w:rsidR="00CD24C4" w:rsidRPr="00220128" w:rsidTr="005E502F">
        <w:trPr>
          <w:trHeight w:val="257"/>
        </w:trPr>
        <w:tc>
          <w:tcPr>
            <w:tcW w:w="918" w:type="dxa"/>
          </w:tcPr>
          <w:p w:rsidR="00CD24C4" w:rsidRPr="00220128" w:rsidRDefault="00CD24C4" w:rsidP="00CD24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C4" w:rsidRPr="00220128" w:rsidRDefault="00CD24C4" w:rsidP="00CD24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0" w:type="dxa"/>
          </w:tcPr>
          <w:p w:rsidR="00CD24C4" w:rsidRPr="00220128" w:rsidRDefault="00CD24C4" w:rsidP="00CD2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8">
              <w:rPr>
                <w:rFonts w:ascii="Times New Roman" w:hAnsi="Times New Roman" w:cs="Times New Roman"/>
                <w:sz w:val="24"/>
                <w:szCs w:val="24"/>
              </w:rPr>
              <w:t>The response is a partial analysis of how the author constructs the argument in the passage.</w:t>
            </w:r>
          </w:p>
          <w:p w:rsidR="00CD24C4" w:rsidRPr="00220128" w:rsidRDefault="00CD24C4" w:rsidP="00CD24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28">
              <w:rPr>
                <w:rFonts w:ascii="Times New Roman" w:hAnsi="Times New Roman" w:cs="Times New Roman"/>
                <w:sz w:val="24"/>
                <w:szCs w:val="24"/>
              </w:rPr>
              <w:t>The response includes limited information from the passage and may include inaccuracies.</w:t>
            </w:r>
          </w:p>
        </w:tc>
      </w:tr>
      <w:tr w:rsidR="00CD24C4" w:rsidRPr="00220128" w:rsidTr="005E502F">
        <w:trPr>
          <w:trHeight w:val="277"/>
        </w:trPr>
        <w:tc>
          <w:tcPr>
            <w:tcW w:w="918" w:type="dxa"/>
          </w:tcPr>
          <w:p w:rsidR="00CD24C4" w:rsidRPr="00220128" w:rsidRDefault="00CD24C4" w:rsidP="00CD24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C4" w:rsidRPr="00220128" w:rsidRDefault="00CD24C4" w:rsidP="00CD24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0" w:type="dxa"/>
          </w:tcPr>
          <w:p w:rsidR="00CD24C4" w:rsidRPr="00220128" w:rsidRDefault="00CD24C4" w:rsidP="00CD2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8">
              <w:rPr>
                <w:rFonts w:ascii="Times New Roman" w:hAnsi="Times New Roman" w:cs="Times New Roman"/>
                <w:sz w:val="24"/>
                <w:szCs w:val="24"/>
              </w:rPr>
              <w:t>The response is a minimal analysis of how the author constructs the argument in the passage.</w:t>
            </w:r>
          </w:p>
          <w:p w:rsidR="00CD24C4" w:rsidRPr="00220128" w:rsidRDefault="00CD24C4" w:rsidP="00CD2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8">
              <w:rPr>
                <w:rFonts w:ascii="Times New Roman" w:hAnsi="Times New Roman" w:cs="Times New Roman"/>
                <w:sz w:val="24"/>
                <w:szCs w:val="24"/>
              </w:rPr>
              <w:t>The response includes little or no information from the passage and may include inaccuracies.</w:t>
            </w:r>
          </w:p>
          <w:p w:rsidR="00CD24C4" w:rsidRPr="00220128" w:rsidRDefault="00CD24C4" w:rsidP="00CD2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CD24C4" w:rsidRPr="00220128" w:rsidRDefault="00CD24C4" w:rsidP="00CD24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28">
              <w:rPr>
                <w:rFonts w:ascii="Times New Roman" w:hAnsi="Times New Roman" w:cs="Times New Roman"/>
                <w:sz w:val="24"/>
                <w:szCs w:val="24"/>
              </w:rPr>
              <w:t>The response relates minimally to the task.</w:t>
            </w:r>
          </w:p>
        </w:tc>
      </w:tr>
      <w:tr w:rsidR="00CD24C4" w:rsidRPr="00220128" w:rsidTr="005E502F">
        <w:trPr>
          <w:trHeight w:val="277"/>
        </w:trPr>
        <w:tc>
          <w:tcPr>
            <w:tcW w:w="918" w:type="dxa"/>
          </w:tcPr>
          <w:p w:rsidR="00CD24C4" w:rsidRPr="00220128" w:rsidRDefault="00CD24C4" w:rsidP="00CD24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4C4" w:rsidRPr="00220128" w:rsidRDefault="00CD24C4" w:rsidP="00CD24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0" w:type="dxa"/>
          </w:tcPr>
          <w:p w:rsidR="00CD24C4" w:rsidRPr="00220128" w:rsidRDefault="00CD24C4" w:rsidP="00CD2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8">
              <w:rPr>
                <w:rFonts w:ascii="Times New Roman" w:hAnsi="Times New Roman" w:cs="Times New Roman"/>
                <w:sz w:val="24"/>
                <w:szCs w:val="24"/>
              </w:rPr>
              <w:t>The response is totally incorrect or irrelevant or contains insufficient information to demonstrate comprehension.</w:t>
            </w:r>
          </w:p>
        </w:tc>
      </w:tr>
    </w:tbl>
    <w:p w:rsidR="00545BC3" w:rsidRDefault="00545BC3" w:rsidP="00545BC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D5B9F" w:rsidRPr="00220128" w:rsidRDefault="00AD5B9F" w:rsidP="00545BC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45BC3" w:rsidRPr="0030227A" w:rsidRDefault="00545BC3" w:rsidP="00545B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0227A">
        <w:rPr>
          <w:rFonts w:ascii="Times New Roman" w:hAnsi="Times New Roman" w:cs="Times New Roman"/>
          <w:b/>
          <w:sz w:val="28"/>
          <w:szCs w:val="28"/>
          <w:u w:val="single"/>
        </w:rPr>
        <w:t>When Are the Keystones?</w:t>
      </w:r>
    </w:p>
    <w:p w:rsidR="008734F1" w:rsidRDefault="00545BC3" w:rsidP="00545B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 xml:space="preserve">The Literature Keystone Exam is administered to students at the end of their tenth grade year.  If students do not score in the proficient </w:t>
      </w:r>
      <w:r w:rsidR="007975D4" w:rsidRPr="00220128">
        <w:rPr>
          <w:rFonts w:ascii="Times New Roman" w:hAnsi="Times New Roman" w:cs="Times New Roman"/>
          <w:sz w:val="24"/>
          <w:szCs w:val="24"/>
        </w:rPr>
        <w:t xml:space="preserve">or advanced </w:t>
      </w:r>
      <w:r w:rsidRPr="00220128">
        <w:rPr>
          <w:rFonts w:ascii="Times New Roman" w:hAnsi="Times New Roman" w:cs="Times New Roman"/>
          <w:sz w:val="24"/>
          <w:szCs w:val="24"/>
        </w:rPr>
        <w:t xml:space="preserve">range, </w:t>
      </w:r>
      <w:r w:rsidR="0079253E" w:rsidRPr="00220128">
        <w:rPr>
          <w:rFonts w:ascii="Times New Roman" w:hAnsi="Times New Roman" w:cs="Times New Roman"/>
          <w:sz w:val="24"/>
          <w:szCs w:val="24"/>
        </w:rPr>
        <w:t>the district will offer opportunities to</w:t>
      </w:r>
    </w:p>
    <w:p w:rsidR="00545BC3" w:rsidRDefault="0079253E" w:rsidP="008734F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20128">
        <w:rPr>
          <w:rFonts w:ascii="Times New Roman" w:hAnsi="Times New Roman" w:cs="Times New Roman"/>
          <w:sz w:val="24"/>
          <w:szCs w:val="24"/>
        </w:rPr>
        <w:t>re-take</w:t>
      </w:r>
      <w:proofErr w:type="gramEnd"/>
      <w:r w:rsidRPr="00220128">
        <w:rPr>
          <w:rFonts w:ascii="Times New Roman" w:hAnsi="Times New Roman" w:cs="Times New Roman"/>
          <w:sz w:val="24"/>
          <w:szCs w:val="24"/>
        </w:rPr>
        <w:t xml:space="preserve"> the exam.  Additionally, students who do not pass the Literature Keystone Exam at the end of their tenth grade year will have a Keystone remediation course and/or a Keystone study hall added to their class schedule to assist students in earning proficiency when they re-take the exam.  If students do not pass the exam by their senior year, they will be required to complete a project designed and scored by the state to verify proficiency.</w:t>
      </w:r>
    </w:p>
    <w:p w:rsidR="00313A03" w:rsidRPr="00220128" w:rsidRDefault="00313A03" w:rsidP="00313A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69FB" w:rsidRDefault="00EA20F4" w:rsidP="00545B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 xml:space="preserve">At Baldwin High School, the Literature Keystone Exam for tenth graders is scheduled for </w:t>
      </w:r>
      <w:r w:rsidRPr="00EB69FB">
        <w:rPr>
          <w:rFonts w:ascii="Times New Roman" w:hAnsi="Times New Roman" w:cs="Times New Roman"/>
          <w:b/>
          <w:sz w:val="24"/>
          <w:szCs w:val="24"/>
        </w:rPr>
        <w:t>Wednesday, May 21</w:t>
      </w:r>
      <w:r w:rsidRPr="00220128">
        <w:rPr>
          <w:rFonts w:ascii="Times New Roman" w:hAnsi="Times New Roman" w:cs="Times New Roman"/>
          <w:sz w:val="24"/>
          <w:szCs w:val="24"/>
        </w:rPr>
        <w:t xml:space="preserve"> for the first module and </w:t>
      </w:r>
      <w:r w:rsidRPr="00EB69FB">
        <w:rPr>
          <w:rFonts w:ascii="Times New Roman" w:hAnsi="Times New Roman" w:cs="Times New Roman"/>
          <w:b/>
          <w:sz w:val="24"/>
          <w:szCs w:val="24"/>
        </w:rPr>
        <w:t>Thursday, May 22</w:t>
      </w:r>
      <w:r w:rsidRPr="00220128">
        <w:rPr>
          <w:rFonts w:ascii="Times New Roman" w:hAnsi="Times New Roman" w:cs="Times New Roman"/>
          <w:sz w:val="24"/>
          <w:szCs w:val="24"/>
        </w:rPr>
        <w:t xml:space="preserve"> for the second module.  </w:t>
      </w:r>
      <w:r w:rsidR="00E00F3C" w:rsidRPr="00E00F3C">
        <w:rPr>
          <w:rFonts w:ascii="Times New Roman" w:hAnsi="Times New Roman" w:cs="Times New Roman"/>
          <w:sz w:val="24"/>
          <w:szCs w:val="24"/>
        </w:rPr>
        <w:t>Students who are absent during testing days will be scheduled to make-up the module(s) missed</w:t>
      </w:r>
      <w:r w:rsidR="008734F1">
        <w:rPr>
          <w:rFonts w:ascii="Times New Roman" w:hAnsi="Times New Roman" w:cs="Times New Roman"/>
          <w:sz w:val="24"/>
          <w:szCs w:val="24"/>
        </w:rPr>
        <w:t>.</w:t>
      </w:r>
    </w:p>
    <w:p w:rsidR="00313A03" w:rsidRDefault="00313A03" w:rsidP="0031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0F4" w:rsidRPr="00E00F3C" w:rsidRDefault="00777913" w:rsidP="00E00F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128">
        <w:rPr>
          <w:rFonts w:ascii="Times New Roman" w:hAnsi="Times New Roman" w:cs="Times New Roman"/>
          <w:sz w:val="24"/>
          <w:szCs w:val="24"/>
        </w:rPr>
        <w:t>On average, each module takes s</w:t>
      </w:r>
      <w:r w:rsidR="008734F1">
        <w:rPr>
          <w:rFonts w:ascii="Times New Roman" w:hAnsi="Times New Roman" w:cs="Times New Roman"/>
          <w:sz w:val="24"/>
          <w:szCs w:val="24"/>
        </w:rPr>
        <w:t>tudents 1-1.5 hours to complete;</w:t>
      </w:r>
      <w:r w:rsidRPr="00220128">
        <w:rPr>
          <w:rFonts w:ascii="Times New Roman" w:hAnsi="Times New Roman" w:cs="Times New Roman"/>
          <w:sz w:val="24"/>
          <w:szCs w:val="24"/>
        </w:rPr>
        <w:t xml:space="preserve"> however, i</w:t>
      </w:r>
      <w:r w:rsidR="005E502F" w:rsidRPr="00220128">
        <w:rPr>
          <w:rFonts w:ascii="Times New Roman" w:hAnsi="Times New Roman" w:cs="Times New Roman"/>
          <w:sz w:val="24"/>
          <w:szCs w:val="24"/>
        </w:rPr>
        <w:t>f students do not finish</w:t>
      </w:r>
      <w:r w:rsidR="00EA20F4" w:rsidRPr="00220128">
        <w:rPr>
          <w:rFonts w:ascii="Times New Roman" w:hAnsi="Times New Roman" w:cs="Times New Roman"/>
          <w:sz w:val="24"/>
          <w:szCs w:val="24"/>
        </w:rPr>
        <w:t xml:space="preserve"> in the allotted time during </w:t>
      </w:r>
      <w:r w:rsidR="000E258C">
        <w:rPr>
          <w:rFonts w:ascii="Times New Roman" w:hAnsi="Times New Roman" w:cs="Times New Roman"/>
          <w:sz w:val="24"/>
          <w:szCs w:val="24"/>
        </w:rPr>
        <w:t xml:space="preserve">the </w:t>
      </w:r>
      <w:r w:rsidR="00EA20F4" w:rsidRPr="00220128">
        <w:rPr>
          <w:rFonts w:ascii="Times New Roman" w:hAnsi="Times New Roman" w:cs="Times New Roman"/>
          <w:sz w:val="24"/>
          <w:szCs w:val="24"/>
        </w:rPr>
        <w:t xml:space="preserve">testing session, they are permitted extended time to </w:t>
      </w:r>
      <w:r w:rsidR="005E502F" w:rsidRPr="00220128">
        <w:rPr>
          <w:rFonts w:ascii="Times New Roman" w:hAnsi="Times New Roman" w:cs="Times New Roman"/>
          <w:sz w:val="24"/>
          <w:szCs w:val="24"/>
        </w:rPr>
        <w:t>complete</w:t>
      </w:r>
      <w:r w:rsidR="00EA20F4" w:rsidRPr="00220128">
        <w:rPr>
          <w:rFonts w:ascii="Times New Roman" w:hAnsi="Times New Roman" w:cs="Times New Roman"/>
          <w:sz w:val="24"/>
          <w:szCs w:val="24"/>
        </w:rPr>
        <w:t xml:space="preserve"> the exam.  </w:t>
      </w:r>
      <w:r w:rsidR="00703FEC" w:rsidRPr="00703FEC">
        <w:rPr>
          <w:rFonts w:ascii="Times New Roman" w:hAnsi="Times New Roman" w:cs="Times New Roman"/>
          <w:b/>
          <w:sz w:val="24"/>
          <w:szCs w:val="24"/>
        </w:rPr>
        <w:t>It is imperative that students know that this is NOT a timed test.  They should answer all questions thoroughly and avoid answering questions with haste.</w:t>
      </w:r>
      <w:r w:rsidR="00703FEC">
        <w:rPr>
          <w:rFonts w:ascii="Times New Roman" w:hAnsi="Times New Roman" w:cs="Times New Roman"/>
          <w:sz w:val="24"/>
          <w:szCs w:val="24"/>
        </w:rPr>
        <w:t xml:space="preserve"> They should take advantage of extended time if they require it. </w:t>
      </w:r>
      <w:r w:rsidR="00EA20F4" w:rsidRPr="00E00F3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115AC5" w:rsidRPr="00220128" w:rsidRDefault="00115AC5" w:rsidP="00115A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AC5" w:rsidRPr="0030227A" w:rsidRDefault="00115AC5" w:rsidP="00115AC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27A">
        <w:rPr>
          <w:rFonts w:ascii="Times New Roman" w:hAnsi="Times New Roman" w:cs="Times New Roman"/>
          <w:b/>
          <w:sz w:val="28"/>
          <w:szCs w:val="28"/>
          <w:u w:val="single"/>
        </w:rPr>
        <w:t xml:space="preserve">What Can </w:t>
      </w:r>
      <w:r w:rsidR="0030227A">
        <w:rPr>
          <w:rFonts w:ascii="Times New Roman" w:hAnsi="Times New Roman" w:cs="Times New Roman"/>
          <w:b/>
          <w:sz w:val="28"/>
          <w:szCs w:val="28"/>
          <w:u w:val="single"/>
        </w:rPr>
        <w:t>Parents/Guardians</w:t>
      </w:r>
      <w:r w:rsidRPr="0030227A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To Help Students Achieve?</w:t>
      </w:r>
    </w:p>
    <w:p w:rsidR="00115AC5" w:rsidRPr="0030227A" w:rsidRDefault="00115AC5" w:rsidP="00115AC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20128">
        <w:rPr>
          <w:rFonts w:ascii="Times New Roman" w:hAnsi="Times New Roman" w:cs="Times New Roman"/>
          <w:sz w:val="24"/>
          <w:szCs w:val="24"/>
        </w:rPr>
        <w:t>Students will benefit from ample sleep the nights prior to the exam a</w:t>
      </w:r>
      <w:r w:rsidR="00BF69A5" w:rsidRPr="00220128">
        <w:rPr>
          <w:rFonts w:ascii="Times New Roman" w:hAnsi="Times New Roman" w:cs="Times New Roman"/>
          <w:sz w:val="24"/>
          <w:szCs w:val="24"/>
        </w:rPr>
        <w:t>s well as eating breakfast the morning of the exam days.  Additionally, students should come prepared with some pencils/erasers and may want to bring with them a snack/drink and layers of clothing</w:t>
      </w:r>
      <w:r w:rsidR="00DF7D17">
        <w:rPr>
          <w:rFonts w:ascii="Times New Roman" w:hAnsi="Times New Roman" w:cs="Times New Roman"/>
          <w:sz w:val="24"/>
          <w:szCs w:val="24"/>
        </w:rPr>
        <w:t>,</w:t>
      </w:r>
      <w:r w:rsidR="00BF69A5" w:rsidRPr="00220128">
        <w:rPr>
          <w:rFonts w:ascii="Times New Roman" w:hAnsi="Times New Roman" w:cs="Times New Roman"/>
          <w:sz w:val="24"/>
          <w:szCs w:val="24"/>
        </w:rPr>
        <w:t xml:space="preserve"> so they can adjust to be most comfortable.</w:t>
      </w:r>
    </w:p>
    <w:p w:rsidR="0030227A" w:rsidRPr="00D94364" w:rsidRDefault="0030227A" w:rsidP="00115AC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94364">
        <w:rPr>
          <w:rFonts w:ascii="Times New Roman" w:hAnsi="Times New Roman" w:cs="Times New Roman"/>
          <w:sz w:val="28"/>
          <w:szCs w:val="28"/>
        </w:rPr>
        <w:t>Encourage your child to do his/her best!</w:t>
      </w:r>
    </w:p>
    <w:p w:rsidR="00777913" w:rsidRPr="00220128" w:rsidRDefault="00777913" w:rsidP="007779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0662" w:rsidRDefault="005F0662" w:rsidP="00777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F9F" w:rsidRDefault="009E42AA" w:rsidP="00777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more information pertaining to parents’ role in the Keystone Exam, click on the following link: </w:t>
      </w:r>
      <w:hyperlink r:id="rId10" w:history="1">
        <w:r w:rsidR="005F0662" w:rsidRPr="005F066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http://www.pdesas.org/module/assessment/Keystone.aspx#</w:t>
        </w:r>
      </w:hyperlink>
      <w:r w:rsidR="006C4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0662" w:rsidRPr="006C4E06" w:rsidRDefault="00CF1F9F" w:rsidP="00777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6C4E06">
        <w:rPr>
          <w:rFonts w:ascii="Times New Roman" w:hAnsi="Times New Roman" w:cs="Times New Roman"/>
          <w:b/>
          <w:bCs/>
          <w:sz w:val="24"/>
          <w:szCs w:val="24"/>
        </w:rPr>
        <w:t>scroll</w:t>
      </w:r>
      <w:proofErr w:type="gramEnd"/>
      <w:r w:rsidR="006C4E06">
        <w:rPr>
          <w:rFonts w:ascii="Times New Roman" w:hAnsi="Times New Roman" w:cs="Times New Roman"/>
          <w:b/>
          <w:bCs/>
          <w:sz w:val="24"/>
          <w:szCs w:val="24"/>
        </w:rPr>
        <w:t xml:space="preserve"> down to “</w:t>
      </w:r>
      <w:r w:rsidR="006C4E06" w:rsidRPr="006C4E06">
        <w:rPr>
          <w:rFonts w:ascii="Times New Roman" w:hAnsi="Times New Roman" w:cs="Times New Roman"/>
          <w:b/>
          <w:bCs/>
          <w:i/>
          <w:sz w:val="24"/>
          <w:szCs w:val="24"/>
        </w:rPr>
        <w:t>Keystone Exam Parent Overview</w:t>
      </w:r>
      <w:r w:rsidR="006C4E06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9E42AA" w:rsidRDefault="009E42AA" w:rsidP="00777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2AA" w:rsidRPr="00220128" w:rsidRDefault="009E42AA" w:rsidP="00AE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128">
        <w:rPr>
          <w:rFonts w:ascii="Times New Roman" w:hAnsi="Times New Roman" w:cs="Times New Roman"/>
          <w:b/>
          <w:bCs/>
          <w:sz w:val="24"/>
          <w:szCs w:val="24"/>
        </w:rPr>
        <w:t>For additional infor</w:t>
      </w:r>
      <w:r>
        <w:rPr>
          <w:rFonts w:ascii="Times New Roman" w:hAnsi="Times New Roman" w:cs="Times New Roman"/>
          <w:b/>
          <w:bCs/>
          <w:sz w:val="24"/>
          <w:szCs w:val="24"/>
        </w:rPr>
        <w:t>mation about the Keystone Exams and PA Common Core Standards</w:t>
      </w:r>
      <w:r w:rsidRPr="00220128">
        <w:rPr>
          <w:rFonts w:ascii="Times New Roman" w:hAnsi="Times New Roman" w:cs="Times New Roman"/>
          <w:b/>
          <w:bCs/>
          <w:sz w:val="24"/>
          <w:szCs w:val="24"/>
        </w:rPr>
        <w:t xml:space="preserve"> visit the SAS website at </w:t>
      </w:r>
      <w:hyperlink r:id="rId11" w:history="1">
        <w:r w:rsidRPr="0035605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www.pdesas.org</w:t>
        </w:r>
      </w:hyperlink>
    </w:p>
    <w:sectPr w:rsidR="009E42AA" w:rsidRPr="00220128" w:rsidSect="00AD5B9F">
      <w:footerReference w:type="default" r:id="rId12"/>
      <w:pgSz w:w="12240" w:h="15840"/>
      <w:pgMar w:top="864" w:right="864" w:bottom="864" w:left="86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0C" w:rsidRDefault="0045320C" w:rsidP="0045320C">
      <w:pPr>
        <w:spacing w:after="0" w:line="240" w:lineRule="auto"/>
      </w:pPr>
      <w:r>
        <w:separator/>
      </w:r>
    </w:p>
  </w:endnote>
  <w:endnote w:type="continuationSeparator" w:id="0">
    <w:p w:rsidR="0045320C" w:rsidRDefault="0045320C" w:rsidP="0045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682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20C" w:rsidRDefault="0045320C">
        <w:pPr>
          <w:pStyle w:val="Footer"/>
          <w:jc w:val="right"/>
        </w:pPr>
        <w:r>
          <w:t xml:space="preserve">BHS English </w:t>
        </w:r>
        <w:proofErr w:type="gramStart"/>
        <w:r>
          <w:t xml:space="preserve">Department  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5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320C" w:rsidRDefault="0045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0C" w:rsidRDefault="0045320C" w:rsidP="0045320C">
      <w:pPr>
        <w:spacing w:after="0" w:line="240" w:lineRule="auto"/>
      </w:pPr>
      <w:r>
        <w:separator/>
      </w:r>
    </w:p>
  </w:footnote>
  <w:footnote w:type="continuationSeparator" w:id="0">
    <w:p w:rsidR="0045320C" w:rsidRDefault="0045320C" w:rsidP="0045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2BFF"/>
    <w:multiLevelType w:val="hybridMultilevel"/>
    <w:tmpl w:val="90A6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52F60"/>
    <w:multiLevelType w:val="hybridMultilevel"/>
    <w:tmpl w:val="814A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820"/>
    <w:multiLevelType w:val="hybridMultilevel"/>
    <w:tmpl w:val="6CB8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96900"/>
    <w:multiLevelType w:val="hybridMultilevel"/>
    <w:tmpl w:val="7406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E5940"/>
    <w:multiLevelType w:val="hybridMultilevel"/>
    <w:tmpl w:val="79FE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96270"/>
    <w:multiLevelType w:val="hybridMultilevel"/>
    <w:tmpl w:val="7AC2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46673"/>
    <w:multiLevelType w:val="hybridMultilevel"/>
    <w:tmpl w:val="1BD2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9D"/>
    <w:rsid w:val="00064F70"/>
    <w:rsid w:val="000A431D"/>
    <w:rsid w:val="000E258C"/>
    <w:rsid w:val="0010378B"/>
    <w:rsid w:val="00115AC5"/>
    <w:rsid w:val="001745A5"/>
    <w:rsid w:val="00220128"/>
    <w:rsid w:val="002F0F10"/>
    <w:rsid w:val="0030227A"/>
    <w:rsid w:val="00313A03"/>
    <w:rsid w:val="00355641"/>
    <w:rsid w:val="00410542"/>
    <w:rsid w:val="0045320C"/>
    <w:rsid w:val="004D4230"/>
    <w:rsid w:val="00545BC3"/>
    <w:rsid w:val="0058139D"/>
    <w:rsid w:val="005E502F"/>
    <w:rsid w:val="005F0662"/>
    <w:rsid w:val="006226AE"/>
    <w:rsid w:val="006352C7"/>
    <w:rsid w:val="0066213B"/>
    <w:rsid w:val="00687B17"/>
    <w:rsid w:val="006C4E06"/>
    <w:rsid w:val="00703FEC"/>
    <w:rsid w:val="00747228"/>
    <w:rsid w:val="00777913"/>
    <w:rsid w:val="0079253E"/>
    <w:rsid w:val="007975D4"/>
    <w:rsid w:val="007D3902"/>
    <w:rsid w:val="00822E4D"/>
    <w:rsid w:val="008734F1"/>
    <w:rsid w:val="00935AA7"/>
    <w:rsid w:val="009E42AA"/>
    <w:rsid w:val="00A017F2"/>
    <w:rsid w:val="00A01D56"/>
    <w:rsid w:val="00A94ADF"/>
    <w:rsid w:val="00AD5B9F"/>
    <w:rsid w:val="00AE6F65"/>
    <w:rsid w:val="00B670FF"/>
    <w:rsid w:val="00BB031C"/>
    <w:rsid w:val="00BF69A5"/>
    <w:rsid w:val="00C65887"/>
    <w:rsid w:val="00CD24C4"/>
    <w:rsid w:val="00CF1F9F"/>
    <w:rsid w:val="00D94364"/>
    <w:rsid w:val="00DF7D17"/>
    <w:rsid w:val="00E00F3C"/>
    <w:rsid w:val="00E7507E"/>
    <w:rsid w:val="00EA20F4"/>
    <w:rsid w:val="00EB69FB"/>
    <w:rsid w:val="00F33DED"/>
    <w:rsid w:val="00F57A23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39D"/>
    <w:pPr>
      <w:spacing w:after="0" w:line="240" w:lineRule="auto"/>
    </w:pPr>
  </w:style>
  <w:style w:type="table" w:styleId="TableGrid">
    <w:name w:val="Table Grid"/>
    <w:basedOn w:val="TableNormal"/>
    <w:uiPriority w:val="59"/>
    <w:rsid w:val="0058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39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0C"/>
  </w:style>
  <w:style w:type="paragraph" w:styleId="Footer">
    <w:name w:val="footer"/>
    <w:basedOn w:val="Normal"/>
    <w:link w:val="FooterChar"/>
    <w:uiPriority w:val="99"/>
    <w:unhideWhenUsed/>
    <w:rsid w:val="0045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0C"/>
  </w:style>
  <w:style w:type="character" w:styleId="FollowedHyperlink">
    <w:name w:val="FollowedHyperlink"/>
    <w:basedOn w:val="DefaultParagraphFont"/>
    <w:uiPriority w:val="99"/>
    <w:semiHidden/>
    <w:unhideWhenUsed/>
    <w:rsid w:val="007472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4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39D"/>
    <w:pPr>
      <w:spacing w:after="0" w:line="240" w:lineRule="auto"/>
    </w:pPr>
  </w:style>
  <w:style w:type="table" w:styleId="TableGrid">
    <w:name w:val="Table Grid"/>
    <w:basedOn w:val="TableNormal"/>
    <w:uiPriority w:val="59"/>
    <w:rsid w:val="0058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39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0C"/>
  </w:style>
  <w:style w:type="paragraph" w:styleId="Footer">
    <w:name w:val="footer"/>
    <w:basedOn w:val="Normal"/>
    <w:link w:val="FooterChar"/>
    <w:uiPriority w:val="99"/>
    <w:unhideWhenUsed/>
    <w:rsid w:val="0045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0C"/>
  </w:style>
  <w:style w:type="character" w:styleId="FollowedHyperlink">
    <w:name w:val="FollowedHyperlink"/>
    <w:basedOn w:val="DefaultParagraphFont"/>
    <w:uiPriority w:val="99"/>
    <w:semiHidden/>
    <w:unhideWhenUsed/>
    <w:rsid w:val="007472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desas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desas.org/module/assessment/Keyston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tic.pdesas.org/Content/Documents/Keystone_Literature_Feb_2011_Item_and_Scoring_Sampl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5BEF-A9ED-4533-B2C8-3C5714BE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Schulte, Krystal</dc:creator>
  <cp:lastModifiedBy>Klein, Lisa M.</cp:lastModifiedBy>
  <cp:revision>30</cp:revision>
  <dcterms:created xsi:type="dcterms:W3CDTF">2014-04-03T17:24:00Z</dcterms:created>
  <dcterms:modified xsi:type="dcterms:W3CDTF">2014-04-23T12:17:00Z</dcterms:modified>
</cp:coreProperties>
</file>